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B9" w:rsidRDefault="00B271B9">
      <w:pPr>
        <w:rPr>
          <w:b/>
          <w:sz w:val="28"/>
          <w:szCs w:val="28"/>
        </w:rPr>
      </w:pPr>
      <w:r w:rsidRPr="00B271B9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B271B9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B271B9" w:rsidRDefault="00B271B9">
      <w:pPr>
        <w:rPr>
          <w:b/>
          <w:sz w:val="28"/>
          <w:szCs w:val="28"/>
        </w:rPr>
      </w:pPr>
    </w:p>
    <w:p w:rsidR="00B271B9" w:rsidRDefault="00B271B9">
      <w:pPr>
        <w:jc w:val="both"/>
        <w:rPr>
          <w:rFonts w:ascii="PT Astra Serif" w:hAnsi="PT Astra Serif" w:cs="PT Astra Serif"/>
          <w:sz w:val="28"/>
          <w:szCs w:val="28"/>
        </w:rPr>
      </w:pPr>
    </w:p>
    <w:p w:rsidR="00B271B9" w:rsidRDefault="00B271B9">
      <w:pPr>
        <w:jc w:val="both"/>
        <w:rPr>
          <w:rFonts w:ascii="PT Astra Serif" w:hAnsi="PT Astra Serif" w:cs="PT Astra Serif"/>
          <w:sz w:val="28"/>
          <w:szCs w:val="28"/>
        </w:rPr>
      </w:pPr>
    </w:p>
    <w:p w:rsidR="00B271B9" w:rsidRDefault="001579D6">
      <w:pPr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eastAsia="PT Astra Serif" w:hAnsi="PT Astra Serif" w:cs="PT Astra Serif"/>
          <w:b/>
          <w:sz w:val="28"/>
          <w:szCs w:val="28"/>
        </w:rPr>
        <w:t xml:space="preserve">  В Новосибирской области прошла единая «горячая» телефонная линия</w:t>
      </w:r>
    </w:p>
    <w:p w:rsidR="00B271B9" w:rsidRDefault="00B271B9">
      <w:pPr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B271B9" w:rsidRDefault="00B271B9">
      <w:pPr>
        <w:ind w:firstLine="708"/>
        <w:jc w:val="both"/>
        <w:rPr>
          <w:rFonts w:ascii="PT Astra Serif" w:hAnsi="PT Astra Serif" w:cs="PT Astra Serif"/>
          <w:color w:val="000000"/>
          <w:sz w:val="28"/>
          <w:szCs w:val="28"/>
          <w:shd w:val="clear" w:color="auto" w:fill="FFFFFF"/>
        </w:rPr>
      </w:pPr>
    </w:p>
    <w:p w:rsidR="00B271B9" w:rsidRDefault="001579D6">
      <w:pPr>
        <w:spacing w:line="360" w:lineRule="auto"/>
        <w:ind w:firstLine="708"/>
        <w:jc w:val="both"/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25 сентября в городе Новосибирске и районах области прошли «горячие» телефонные линии по вопросам оформления и использования земельных участков.</w:t>
      </w:r>
    </w:p>
    <w:p w:rsidR="00B271B9" w:rsidRDefault="001579D6">
      <w:pPr>
        <w:spacing w:line="36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На номера «горячих» линий поступило более 20 звонков, специалисты аппарата Управления Росреестра по Новосибирск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ой области и его территориальных отделов ответили на вопросы жителей Новосибирской области</w:t>
      </w:r>
    </w:p>
    <w:p w:rsidR="00B271B9" w:rsidRDefault="001579D6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Публикуем ответы на часто задаваемые вопросы.</w:t>
      </w:r>
    </w:p>
    <w:p w:rsidR="00B271B9" w:rsidRDefault="001579D6">
      <w:pPr>
        <w:spacing w:line="360" w:lineRule="auto"/>
        <w:ind w:firstLine="709"/>
        <w:jc w:val="both"/>
        <w:rPr>
          <w:rFonts w:ascii="PT Astra Serif" w:hAnsi="PT Astra Serif" w:cs="PT Astra Serif"/>
          <w:bCs/>
          <w:i/>
          <w:sz w:val="28"/>
          <w:szCs w:val="28"/>
        </w:rPr>
      </w:pPr>
      <w:r>
        <w:rPr>
          <w:rFonts w:ascii="PT Astra Serif" w:eastAsia="PT Astra Serif" w:hAnsi="PT Astra Serif" w:cs="PT Astra Serif"/>
          <w:i/>
          <w:iCs/>
          <w:sz w:val="28"/>
          <w:szCs w:val="28"/>
        </w:rPr>
        <w:t>Какие меры вы применяете к владельцам заброшенных земельных участков и куда можно обратиться по этому поводу?</w:t>
      </w:r>
    </w:p>
    <w:p w:rsidR="00B271B9" w:rsidRDefault="001579D6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По земельным участкам, которые переданы в собственность после 1 марта 2025 года, сроки освоения начинаются с момента приобретения прав на них (с момента регистрации) в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>течение трех лет</w:t>
      </w:r>
      <w:r>
        <w:rPr>
          <w:rFonts w:ascii="PT Astra Serif" w:eastAsia="PT Astra Serif" w:hAnsi="PT Astra Serif" w:cs="PT Astra Serif"/>
          <w:sz w:val="28"/>
          <w:szCs w:val="28"/>
        </w:rPr>
        <w:t>. По тем участкам, которые уже в собственности,  указанный срок исчисляе</w:t>
      </w:r>
      <w:r>
        <w:rPr>
          <w:rFonts w:ascii="PT Astra Serif" w:eastAsia="PT Astra Serif" w:hAnsi="PT Astra Serif" w:cs="PT Astra Serif"/>
          <w:sz w:val="28"/>
          <w:szCs w:val="28"/>
        </w:rPr>
        <w:t>тся с 1 марта 2025 года.</w:t>
      </w:r>
    </w:p>
    <w:p w:rsidR="00B271B9" w:rsidRDefault="001579D6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Таким образом, у собственников таких земельных участков есть три года для их освоения.</w:t>
      </w:r>
    </w:p>
    <w:p w:rsidR="00B271B9" w:rsidRDefault="001579D6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На данный момент государственными инспекторами по использованию и охране земель Новосибирской области в случае поступления сообщения о заброшенн</w:t>
      </w:r>
      <w:r>
        <w:rPr>
          <w:rFonts w:ascii="PT Astra Serif" w:hAnsi="PT Astra Serif" w:cs="PT Astra Serif"/>
          <w:sz w:val="28"/>
          <w:szCs w:val="28"/>
        </w:rPr>
        <w:t>ом земельном участке в отношении собственника такого участка будет проводится только профилактическая работа.</w:t>
      </w:r>
    </w:p>
    <w:p w:rsidR="00B271B9" w:rsidRDefault="001579D6">
      <w:pPr>
        <w:pStyle w:val="11WebWebWeb121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В случае обнаружения такого нарушения можно направить письменное обращение в новосибирский Росреестр:</w:t>
      </w:r>
    </w:p>
    <w:p w:rsidR="00B271B9" w:rsidRDefault="001579D6">
      <w:pPr>
        <w:numPr>
          <w:ilvl w:val="0"/>
          <w:numId w:val="9"/>
        </w:numPr>
        <w:spacing w:line="36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по почте: ул. Державина, 28, г. Новосибирск,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630099</w:t>
      </w:r>
    </w:p>
    <w:p w:rsidR="00B271B9" w:rsidRDefault="001579D6">
      <w:pPr>
        <w:numPr>
          <w:ilvl w:val="0"/>
          <w:numId w:val="9"/>
        </w:numPr>
        <w:spacing w:line="36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заполнить специальную форму на сайте Росреестра rosreestr.gov.ru в разделе «Услуги и Сервисы» - «Сервисы»-«Обращения граждан»</w:t>
      </w:r>
    </w:p>
    <w:p w:rsidR="00B271B9" w:rsidRDefault="001579D6">
      <w:pPr>
        <w:numPr>
          <w:ilvl w:val="0"/>
          <w:numId w:val="9"/>
        </w:numPr>
        <w:spacing w:line="36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любом офисе МФЦ</w:t>
      </w:r>
    </w:p>
    <w:p w:rsidR="00B271B9" w:rsidRDefault="001579D6">
      <w:pPr>
        <w:spacing w:line="360" w:lineRule="auto"/>
        <w:ind w:firstLine="708"/>
        <w:jc w:val="both"/>
        <w:rPr>
          <w:rFonts w:ascii="PT Astra Serif" w:hAnsi="PT Astra Serif" w:cs="PT Astra Serif"/>
          <w:bCs/>
          <w:i/>
          <w:sz w:val="28"/>
          <w:szCs w:val="28"/>
          <w:shd w:val="clear" w:color="auto" w:fill="FFFFFF"/>
        </w:rPr>
      </w:pPr>
      <w:r>
        <w:rPr>
          <w:rFonts w:ascii="PT Astra Serif" w:eastAsia="PT Astra Serif" w:hAnsi="PT Astra Serif" w:cs="PT Astra Serif"/>
          <w:i/>
          <w:iCs/>
          <w:sz w:val="28"/>
          <w:szCs w:val="28"/>
          <w:shd w:val="clear" w:color="auto" w:fill="FFFFFF"/>
        </w:rPr>
        <w:t>Какие мероприятия необходимо провести по моему земельному участку в садоводческом обществе в целях его о</w:t>
      </w:r>
      <w:r>
        <w:rPr>
          <w:rFonts w:ascii="PT Astra Serif" w:eastAsia="PT Astra Serif" w:hAnsi="PT Astra Serif" w:cs="PT Astra Serif"/>
          <w:i/>
          <w:iCs/>
          <w:sz w:val="28"/>
          <w:szCs w:val="28"/>
          <w:shd w:val="clear" w:color="auto" w:fill="FFFFFF"/>
        </w:rPr>
        <w:t>своения?</w:t>
      </w:r>
    </w:p>
    <w:p w:rsidR="00B271B9" w:rsidRDefault="001579D6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Основными мероприятиями, направленными на освоения земельных участков, являются </w:t>
      </w:r>
      <w:r>
        <w:rPr>
          <w:rFonts w:ascii="PT Astra Serif" w:eastAsia="PT Astra Serif" w:hAnsi="PT Astra Serif" w:cs="PT Astra Serif"/>
          <w:sz w:val="28"/>
          <w:szCs w:val="28"/>
        </w:rPr>
        <w:t>освобождение земельного участка от деревьев и кустарников, мешающих его использованию, а также от сорных растений, отходов производства и потребления,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проведение работ по осушению либо увлажнению участка и т.д.</w:t>
      </w:r>
    </w:p>
    <w:p w:rsidR="00B271B9" w:rsidRDefault="001579D6">
      <w:pPr>
        <w:shd w:val="clear" w:color="auto" w:fill="FFFFFF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i/>
          <w:iCs/>
          <w:sz w:val="28"/>
          <w:szCs w:val="28"/>
        </w:rPr>
        <w:t xml:space="preserve">Необходимо ли проводить кадастровые работы по уточнению границ земельного участка перед его отчуждением? </w:t>
      </w:r>
    </w:p>
    <w:p w:rsidR="00B271B9" w:rsidRDefault="001579D6">
      <w:pPr>
        <w:shd w:val="clear" w:color="auto" w:fill="FFFFFF"/>
        <w:spacing w:line="360" w:lineRule="auto"/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Напоминаем, что с марта 2025 </w:t>
      </w:r>
      <w:r>
        <w:rPr>
          <w:rFonts w:ascii="PT Astra Serif" w:eastAsia="PT Astra Serif" w:hAnsi="PT Astra Serif" w:cs="PT Astra Serif"/>
          <w:sz w:val="28"/>
          <w:szCs w:val="28"/>
        </w:rPr>
        <w:t>запрещено совершать сделки с земельными участками, в отношен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ии которых границы не установлены и сведения о них отсутствуют в Едином государственном реестре недвижимости. </w:t>
      </w:r>
    </w:p>
    <w:p w:rsidR="00B271B9" w:rsidRDefault="001579D6">
      <w:pPr>
        <w:spacing w:line="360" w:lineRule="auto"/>
        <w:ind w:firstLine="708"/>
        <w:jc w:val="both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Информацию о границах земельного участка  можно найти на Публичной кадастровой карте Росреестра, которая расположена на платформе </w:t>
      </w:r>
      <w:hyperlink r:id="rId8" w:tooltip="https://nspd.gov.ru/map?baseLayerId=235&amp;theme_id=1&amp;zoom=18.811492718497796&amp;coordinate_x=9297438.357487926&amp;coordinate_y=7374771.509204884" w:history="1">
        <w:r>
          <w:rPr>
            <w:rStyle w:val="ac"/>
            <w:rFonts w:ascii="PT Astra Serif" w:eastAsia="PT Astra Serif" w:hAnsi="PT Astra Serif" w:cs="PT Astra Serif"/>
            <w:sz w:val="28"/>
            <w:szCs w:val="28"/>
          </w:rPr>
          <w:t>Национальная система пространственных данных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или в выписке из Единого государственного реестра недвижимости, которую легко получить через портал </w:t>
      </w:r>
      <w:hyperlink r:id="rId9" w:tooltip="https://www.gosuslugi.ru/" w:history="1">
        <w:r>
          <w:rPr>
            <w:rStyle w:val="ac"/>
            <w:rFonts w:ascii="PT Astra Serif" w:eastAsia="PT Astra Serif" w:hAnsi="PT Astra Serif" w:cs="PT Astra Serif"/>
            <w:sz w:val="28"/>
            <w:szCs w:val="28"/>
          </w:rPr>
          <w:t>Госуслуг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или </w:t>
      </w:r>
      <w:hyperlink r:id="rId10" w:tooltip="https://www.mfc-nso.ru/" w:history="1">
        <w:r>
          <w:rPr>
            <w:rStyle w:val="ac"/>
            <w:rFonts w:ascii="PT Astra Serif" w:eastAsia="PT Astra Serif" w:hAnsi="PT Astra Serif" w:cs="PT Astra Serif"/>
            <w:sz w:val="28"/>
            <w:szCs w:val="28"/>
          </w:rPr>
          <w:t>МФЦ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>. Чтобы узнать, определены ли границы земельного участка, необходимо ввести  в поисковом окне на Публичной кадастровой карте кадастровый номер земельного участка. Если на карте  графическое 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тображение границ земельного участка не отображается, то требуется проведение кадастровых работ по уточнению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местоположения  границ земельного участка. Для этого необходимо обратиться к кадастровому инженеру. Кадастровый инженер проведёт замеры, подготовит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межевой план и согласует границы с соседями.</w:t>
      </w:r>
    </w:p>
    <w:p w:rsidR="00B271B9" w:rsidRDefault="00B271B9">
      <w:pPr>
        <w:spacing w:line="360" w:lineRule="auto"/>
        <w:ind w:firstLine="708"/>
        <w:jc w:val="both"/>
        <w:rPr>
          <w:rFonts w:ascii="PT Astra Serif" w:hAnsi="PT Astra Serif" w:cs="PT Astra Serif"/>
          <w:b/>
          <w:sz w:val="28"/>
          <w:szCs w:val="28"/>
        </w:rPr>
      </w:pPr>
    </w:p>
    <w:p w:rsidR="00B271B9" w:rsidRDefault="00B271B9">
      <w:pPr>
        <w:spacing w:line="36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</w:p>
    <w:p w:rsidR="00B271B9" w:rsidRDefault="001579D6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B271B9" w:rsidRDefault="001579D6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B271B9" w:rsidRDefault="00B271B9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B271B9" w:rsidRDefault="00B271B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B271B9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B271B9" w:rsidRDefault="001579D6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B271B9" w:rsidRDefault="001579D6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>еятельностью саморегулируемых организаций. Руководителем Управления Росреестра по Новосибирской области является Светлана Евгеньевна Рягузова.</w:t>
      </w:r>
    </w:p>
    <w:p w:rsidR="00B271B9" w:rsidRDefault="00B271B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B271B9" w:rsidRDefault="001579D6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B271B9" w:rsidRDefault="001579D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B271B9" w:rsidRDefault="001579D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B271B9" w:rsidRDefault="001579D6">
      <w:pPr>
        <w:jc w:val="both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  <w:lang w:val="en-US"/>
        </w:rPr>
        <w:t>Эл</w:t>
      </w:r>
      <w:r>
        <w:rPr>
          <w:rFonts w:ascii="Segoe UI" w:hAnsi="Segoe UI" w:cs="Segoe UI"/>
          <w:color w:val="000000"/>
          <w:sz w:val="18"/>
          <w:szCs w:val="18"/>
          <w:lang w:val="en-US"/>
        </w:rPr>
        <w:t xml:space="preserve">ектронная почта: </w:t>
      </w:r>
    </w:p>
    <w:p w:rsidR="00B271B9" w:rsidRDefault="00B271B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1" w:history="1">
        <w:r w:rsidR="001579D6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1579D6" w:rsidRPr="001579D6">
          <w:rPr>
            <w:rStyle w:val="ac"/>
            <w:rFonts w:ascii="Segoe UI" w:hAnsi="Segoe UI" w:cs="Segoe UI"/>
            <w:sz w:val="18"/>
            <w:szCs w:val="20"/>
          </w:rPr>
          <w:t>@</w:t>
        </w:r>
        <w:r w:rsidR="001579D6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1579D6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1579D6" w:rsidRPr="001579D6">
          <w:rPr>
            <w:rStyle w:val="ac"/>
            <w:rFonts w:ascii="Segoe UI" w:hAnsi="Segoe UI" w:cs="Segoe UI"/>
            <w:sz w:val="18"/>
            <w:szCs w:val="20"/>
          </w:rPr>
          <w:t>.</w:t>
        </w:r>
        <w:r w:rsidR="001579D6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1579D6" w:rsidRPr="001579D6">
          <w:rPr>
            <w:rStyle w:val="ac"/>
            <w:rFonts w:ascii="Segoe UI" w:hAnsi="Segoe UI" w:cs="Segoe UI"/>
            <w:sz w:val="18"/>
            <w:szCs w:val="20"/>
          </w:rPr>
          <w:t>.</w:t>
        </w:r>
        <w:r w:rsidR="001579D6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1579D6" w:rsidRPr="001579D6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B271B9" w:rsidRPr="001579D6" w:rsidRDefault="001579D6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1579D6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2" w:history="1">
        <w:r w:rsidRPr="001579D6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B271B9" w:rsidRDefault="001579D6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3" w:history="1">
        <w:r w:rsidRPr="001579D6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4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5" w:history="1">
        <w:proofErr w:type="spellStart"/>
        <w:r w:rsidRPr="001579D6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1579D6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1579D6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6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B271B9" w:rsidRDefault="00B271B9">
      <w:pPr>
        <w:jc w:val="both"/>
      </w:pPr>
    </w:p>
    <w:p w:rsidR="00B271B9" w:rsidRDefault="00B271B9">
      <w:pPr>
        <w:jc w:val="both"/>
      </w:pPr>
    </w:p>
    <w:p w:rsidR="00B271B9" w:rsidRDefault="00B271B9">
      <w:pPr>
        <w:jc w:val="both"/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B271B9">
      <w:pPr>
        <w:jc w:val="both"/>
        <w:rPr>
          <w:rFonts w:ascii="PT Astra Serif" w:hAnsi="PT Astra Serif" w:cs="PT Astra Serif"/>
        </w:rPr>
      </w:pPr>
    </w:p>
    <w:p w:rsidR="00B271B9" w:rsidRDefault="001579D6">
      <w:pPr>
        <w:jc w:val="both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Дибирдеев Алексей Валерьевич</w:t>
      </w:r>
    </w:p>
    <w:p w:rsidR="00B271B9" w:rsidRDefault="001579D6">
      <w:pPr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lang w:val="en-US"/>
        </w:rPr>
        <w:t>IP 6</w:t>
      </w:r>
      <w:r>
        <w:rPr>
          <w:rFonts w:ascii="PT Astra Serif" w:eastAsia="PT Astra Serif" w:hAnsi="PT Astra Serif" w:cs="PT Astra Serif"/>
        </w:rPr>
        <w:t>4</w:t>
      </w:r>
      <w:r>
        <w:rPr>
          <w:rFonts w:ascii="PT Astra Serif" w:eastAsia="PT Astra Serif" w:hAnsi="PT Astra Serif" w:cs="PT Astra Serif"/>
          <w:lang w:val="en-US"/>
        </w:rPr>
        <w:t>211</w:t>
      </w:r>
    </w:p>
    <w:sectPr w:rsidR="00B271B9" w:rsidSect="00B271B9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1B9" w:rsidRDefault="001579D6">
      <w:r>
        <w:separator/>
      </w:r>
    </w:p>
  </w:endnote>
  <w:endnote w:type="continuationSeparator" w:id="0">
    <w:p w:rsidR="00B271B9" w:rsidRDefault="00157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1B9" w:rsidRDefault="001579D6">
      <w:r>
        <w:separator/>
      </w:r>
    </w:p>
  </w:footnote>
  <w:footnote w:type="continuationSeparator" w:id="0">
    <w:p w:rsidR="00B271B9" w:rsidRDefault="001579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30CBC"/>
    <w:multiLevelType w:val="hybridMultilevel"/>
    <w:tmpl w:val="50B21C32"/>
    <w:lvl w:ilvl="0" w:tplc="2F6CA896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0E5AEA4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7461E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D24E61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A94C36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B980A5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43484E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0C450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A721B4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22A53AB3"/>
    <w:multiLevelType w:val="hybridMultilevel"/>
    <w:tmpl w:val="23FAB090"/>
    <w:lvl w:ilvl="0" w:tplc="F9B684E2">
      <w:start w:val="1"/>
      <w:numFmt w:val="decimal"/>
      <w:lvlText w:val="%1."/>
      <w:lvlJc w:val="left"/>
      <w:pPr>
        <w:ind w:left="1429" w:hanging="360"/>
      </w:pPr>
    </w:lvl>
    <w:lvl w:ilvl="1" w:tplc="3A38F55C">
      <w:start w:val="1"/>
      <w:numFmt w:val="lowerLetter"/>
      <w:lvlText w:val="%2."/>
      <w:lvlJc w:val="left"/>
      <w:pPr>
        <w:ind w:left="2149" w:hanging="360"/>
      </w:pPr>
    </w:lvl>
    <w:lvl w:ilvl="2" w:tplc="58CA9CC0">
      <w:start w:val="1"/>
      <w:numFmt w:val="lowerRoman"/>
      <w:lvlText w:val="%3."/>
      <w:lvlJc w:val="right"/>
      <w:pPr>
        <w:ind w:left="2869" w:hanging="180"/>
      </w:pPr>
    </w:lvl>
    <w:lvl w:ilvl="3" w:tplc="FF48FE72">
      <w:start w:val="1"/>
      <w:numFmt w:val="decimal"/>
      <w:lvlText w:val="%4."/>
      <w:lvlJc w:val="left"/>
      <w:pPr>
        <w:ind w:left="3589" w:hanging="360"/>
      </w:pPr>
    </w:lvl>
    <w:lvl w:ilvl="4" w:tplc="1D5CBA60">
      <w:start w:val="1"/>
      <w:numFmt w:val="lowerLetter"/>
      <w:lvlText w:val="%5."/>
      <w:lvlJc w:val="left"/>
      <w:pPr>
        <w:ind w:left="4309" w:hanging="360"/>
      </w:pPr>
    </w:lvl>
    <w:lvl w:ilvl="5" w:tplc="AB822832">
      <w:start w:val="1"/>
      <w:numFmt w:val="lowerRoman"/>
      <w:lvlText w:val="%6."/>
      <w:lvlJc w:val="right"/>
      <w:pPr>
        <w:ind w:left="5029" w:hanging="180"/>
      </w:pPr>
    </w:lvl>
    <w:lvl w:ilvl="6" w:tplc="4A8E9AEA">
      <w:start w:val="1"/>
      <w:numFmt w:val="decimal"/>
      <w:lvlText w:val="%7."/>
      <w:lvlJc w:val="left"/>
      <w:pPr>
        <w:ind w:left="5749" w:hanging="360"/>
      </w:pPr>
    </w:lvl>
    <w:lvl w:ilvl="7" w:tplc="774050CE">
      <w:start w:val="1"/>
      <w:numFmt w:val="lowerLetter"/>
      <w:lvlText w:val="%8."/>
      <w:lvlJc w:val="left"/>
      <w:pPr>
        <w:ind w:left="6469" w:hanging="360"/>
      </w:pPr>
    </w:lvl>
    <w:lvl w:ilvl="8" w:tplc="4E743EAA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D8241A"/>
    <w:multiLevelType w:val="hybridMultilevel"/>
    <w:tmpl w:val="42CABCB8"/>
    <w:lvl w:ilvl="0" w:tplc="504E586A">
      <w:start w:val="1"/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 w:tplc="60E218A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1D48D274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D940536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2F0687D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B052AEA4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3C76C810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C838BCC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CE8C4A2C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">
    <w:nsid w:val="34097D8E"/>
    <w:multiLevelType w:val="hybridMultilevel"/>
    <w:tmpl w:val="29F04BEA"/>
    <w:lvl w:ilvl="0" w:tplc="CF80F90E">
      <w:start w:val="1"/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 w:tplc="2794A6C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C3BA39A8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3CE232EC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E7A4416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4AD64BEC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07ACAE88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0D363DD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A61A9B88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">
    <w:nsid w:val="374C1DBF"/>
    <w:multiLevelType w:val="hybridMultilevel"/>
    <w:tmpl w:val="A858B070"/>
    <w:lvl w:ilvl="0" w:tplc="54E40A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8C09C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387A18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FBAE0FE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D6C18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BE5418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3AB229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E30F52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7943A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522D5154"/>
    <w:multiLevelType w:val="hybridMultilevel"/>
    <w:tmpl w:val="7D64F4C0"/>
    <w:lvl w:ilvl="0" w:tplc="F960714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4C7C927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1B245F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BB0A0D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D0BEA7F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09E7D8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925E984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52424B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E8B0595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6">
    <w:nsid w:val="62175754"/>
    <w:multiLevelType w:val="hybridMultilevel"/>
    <w:tmpl w:val="D72412CE"/>
    <w:lvl w:ilvl="0" w:tplc="BFDE61D6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EA321A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FDA60C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9E64D5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CE24F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A1805A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9C6B3F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40E8E1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2E6675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>
    <w:nsid w:val="69693FB2"/>
    <w:multiLevelType w:val="hybridMultilevel"/>
    <w:tmpl w:val="A7A05344"/>
    <w:lvl w:ilvl="0" w:tplc="A7F266BC">
      <w:start w:val="1"/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 w:tplc="D65AF6C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4B625EA4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B1064C6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965CF56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B47682E8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6C7C49DA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A8A65D7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A2C4E9E0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8">
    <w:nsid w:val="759D479B"/>
    <w:multiLevelType w:val="hybridMultilevel"/>
    <w:tmpl w:val="1ED2A802"/>
    <w:lvl w:ilvl="0" w:tplc="EAF096F8">
      <w:start w:val="1"/>
      <w:numFmt w:val="bullet"/>
      <w:lvlText w:val=""/>
      <w:lvlJc w:val="left"/>
      <w:pPr>
        <w:ind w:left="1646" w:hanging="360"/>
      </w:pPr>
      <w:rPr>
        <w:rFonts w:ascii="Symbol" w:hAnsi="Symbol"/>
      </w:rPr>
    </w:lvl>
    <w:lvl w:ilvl="1" w:tplc="3184FF3C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/>
      </w:rPr>
    </w:lvl>
    <w:lvl w:ilvl="2" w:tplc="32E02AB6">
      <w:start w:val="1"/>
      <w:numFmt w:val="bullet"/>
      <w:lvlText w:val=""/>
      <w:lvlJc w:val="left"/>
      <w:pPr>
        <w:ind w:left="3086" w:hanging="360"/>
      </w:pPr>
      <w:rPr>
        <w:rFonts w:ascii="Wingdings" w:hAnsi="Wingdings"/>
      </w:rPr>
    </w:lvl>
    <w:lvl w:ilvl="3" w:tplc="DF6A665C">
      <w:start w:val="1"/>
      <w:numFmt w:val="bullet"/>
      <w:lvlText w:val=""/>
      <w:lvlJc w:val="left"/>
      <w:pPr>
        <w:ind w:left="3806" w:hanging="360"/>
      </w:pPr>
      <w:rPr>
        <w:rFonts w:ascii="Symbol" w:hAnsi="Symbol"/>
      </w:rPr>
    </w:lvl>
    <w:lvl w:ilvl="4" w:tplc="37E24F6A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/>
      </w:rPr>
    </w:lvl>
    <w:lvl w:ilvl="5" w:tplc="0AA6FAB2">
      <w:start w:val="1"/>
      <w:numFmt w:val="bullet"/>
      <w:lvlText w:val=""/>
      <w:lvlJc w:val="left"/>
      <w:pPr>
        <w:ind w:left="5246" w:hanging="360"/>
      </w:pPr>
      <w:rPr>
        <w:rFonts w:ascii="Wingdings" w:hAnsi="Wingdings"/>
      </w:rPr>
    </w:lvl>
    <w:lvl w:ilvl="6" w:tplc="4008E534">
      <w:start w:val="1"/>
      <w:numFmt w:val="bullet"/>
      <w:lvlText w:val=""/>
      <w:lvlJc w:val="left"/>
      <w:pPr>
        <w:ind w:left="5966" w:hanging="360"/>
      </w:pPr>
      <w:rPr>
        <w:rFonts w:ascii="Symbol" w:hAnsi="Symbol"/>
      </w:rPr>
    </w:lvl>
    <w:lvl w:ilvl="7" w:tplc="8B7A3B40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/>
      </w:rPr>
    </w:lvl>
    <w:lvl w:ilvl="8" w:tplc="5326613A">
      <w:start w:val="1"/>
      <w:numFmt w:val="bullet"/>
      <w:lvlText w:val=""/>
      <w:lvlJc w:val="left"/>
      <w:pPr>
        <w:ind w:left="7406" w:hanging="360"/>
      </w:pPr>
      <w:rPr>
        <w:rFonts w:ascii="Wingdings" w:hAnsi="Wingdings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1B9"/>
    <w:rsid w:val="001579D6"/>
    <w:rsid w:val="00B2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1B9"/>
    <w:rPr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271B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271B9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B271B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271B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B271B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271B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B271B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271B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B271B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271B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B271B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271B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B271B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271B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B271B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271B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B271B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271B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B271B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271B9"/>
    <w:pPr>
      <w:ind w:left="720"/>
      <w:contextualSpacing/>
    </w:pPr>
  </w:style>
  <w:style w:type="paragraph" w:styleId="a4">
    <w:name w:val="No Spacing"/>
    <w:uiPriority w:val="1"/>
    <w:qFormat/>
    <w:rsid w:val="00B271B9"/>
  </w:style>
  <w:style w:type="paragraph" w:styleId="a5">
    <w:name w:val="Title"/>
    <w:basedOn w:val="a"/>
    <w:next w:val="a"/>
    <w:link w:val="a6"/>
    <w:uiPriority w:val="10"/>
    <w:qFormat/>
    <w:rsid w:val="00B271B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B271B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271B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B271B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271B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271B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271B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271B9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271B9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B271B9"/>
  </w:style>
  <w:style w:type="paragraph" w:customStyle="1" w:styleId="Footer">
    <w:name w:val="Footer"/>
    <w:basedOn w:val="a"/>
    <w:link w:val="CaptionChar"/>
    <w:uiPriority w:val="99"/>
    <w:unhideWhenUsed/>
    <w:rsid w:val="00B271B9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B271B9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271B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271B9"/>
  </w:style>
  <w:style w:type="table" w:styleId="ab">
    <w:name w:val="Table Grid"/>
    <w:basedOn w:val="a1"/>
    <w:rsid w:val="00B271B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271B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271B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B271B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B271B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B271B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B271B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B271B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B271B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B271B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B271B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B271B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B271B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B271B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B271B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B271B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B271B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B271B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B271B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B271B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B271B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B271B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B271B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B271B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B271B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B271B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B271B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B271B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B271B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B271B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B271B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B271B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B271B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B271B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B271B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B271B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B271B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B271B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B271B9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271B9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B271B9"/>
    <w:rPr>
      <w:sz w:val="18"/>
    </w:rPr>
  </w:style>
  <w:style w:type="character" w:styleId="af">
    <w:name w:val="footnote reference"/>
    <w:uiPriority w:val="99"/>
    <w:unhideWhenUsed/>
    <w:rsid w:val="00B271B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271B9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B271B9"/>
    <w:rPr>
      <w:sz w:val="20"/>
    </w:rPr>
  </w:style>
  <w:style w:type="character" w:styleId="af2">
    <w:name w:val="endnote reference"/>
    <w:uiPriority w:val="99"/>
    <w:semiHidden/>
    <w:unhideWhenUsed/>
    <w:rsid w:val="00B271B9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271B9"/>
    <w:pPr>
      <w:spacing w:after="57"/>
    </w:pPr>
  </w:style>
  <w:style w:type="paragraph" w:styleId="21">
    <w:name w:val="toc 2"/>
    <w:basedOn w:val="a"/>
    <w:next w:val="a"/>
    <w:uiPriority w:val="39"/>
    <w:unhideWhenUsed/>
    <w:rsid w:val="00B271B9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271B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271B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271B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271B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271B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271B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271B9"/>
    <w:pPr>
      <w:spacing w:after="57"/>
      <w:ind w:left="2268"/>
    </w:pPr>
  </w:style>
  <w:style w:type="paragraph" w:styleId="af3">
    <w:name w:val="TOC Heading"/>
    <w:uiPriority w:val="39"/>
    <w:unhideWhenUsed/>
    <w:rsid w:val="00B271B9"/>
  </w:style>
  <w:style w:type="paragraph" w:styleId="af4">
    <w:name w:val="table of figures"/>
    <w:basedOn w:val="a"/>
    <w:next w:val="a"/>
    <w:uiPriority w:val="99"/>
    <w:unhideWhenUsed/>
    <w:rsid w:val="00B271B9"/>
  </w:style>
  <w:style w:type="paragraph" w:customStyle="1" w:styleId="11WebWebWeb1211">
    <w:name w:val="Обычный (веб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;Обычный (веб) Знак1 Знак"/>
    <w:basedOn w:val="a"/>
    <w:link w:val="312111WebWebWeb12"/>
    <w:rsid w:val="00B271B9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B271B9"/>
    <w:rPr>
      <w:b/>
      <w:bCs/>
    </w:rPr>
  </w:style>
  <w:style w:type="character" w:customStyle="1" w:styleId="apple-converted-space">
    <w:name w:val="apple-converted-space"/>
    <w:basedOn w:val="a0"/>
    <w:rsid w:val="00B271B9"/>
  </w:style>
  <w:style w:type="character" w:styleId="af6">
    <w:name w:val="Emphasis"/>
    <w:uiPriority w:val="20"/>
    <w:qFormat/>
    <w:rsid w:val="00B271B9"/>
    <w:rPr>
      <w:i/>
      <w:iCs/>
    </w:rPr>
  </w:style>
  <w:style w:type="paragraph" w:styleId="af7">
    <w:name w:val="Balloon Text"/>
    <w:basedOn w:val="a"/>
    <w:link w:val="af8"/>
    <w:rsid w:val="00B271B9"/>
    <w:rPr>
      <w:rFonts w:ascii="Tahoma" w:hAnsi="Tahoma"/>
      <w:sz w:val="16"/>
      <w:szCs w:val="16"/>
      <w:lang w:val="en-US" w:eastAsia="en-US"/>
    </w:rPr>
  </w:style>
  <w:style w:type="character" w:customStyle="1" w:styleId="af8">
    <w:name w:val="Текст выноски Знак"/>
    <w:link w:val="af7"/>
    <w:rsid w:val="00B271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B271B9"/>
    <w:rPr>
      <w:b/>
      <w:bCs/>
      <w:sz w:val="27"/>
      <w:szCs w:val="27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1"/>
    <w:rsid w:val="00B271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d.gov.ru/map?baseLayerId=235&amp;theme_id=1&amp;zoom=18.811492718497796&amp;coordinate_x=9297438.357487926&amp;coordinate_y=7374771.509204884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r54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zen.ru/rosreestr_nsk" TargetMode="External"/><Relationship Id="rId10" Type="http://schemas.openxmlformats.org/officeDocument/2006/relationships/hyperlink" Target="https://www.mfc-ns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4496</Characters>
  <Application>Microsoft Office Word</Application>
  <DocSecurity>0</DocSecurity>
  <Lines>37</Lines>
  <Paragraphs>10</Paragraphs>
  <ScaleCrop>false</ScaleCrop>
  <Company>MoBIL GROUP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kme</dc:creator>
  <cp:keywords/>
  <dc:description/>
  <cp:lastModifiedBy>Sidorova_LV</cp:lastModifiedBy>
  <cp:revision>9</cp:revision>
  <dcterms:created xsi:type="dcterms:W3CDTF">2024-08-22T01:41:00Z</dcterms:created>
  <dcterms:modified xsi:type="dcterms:W3CDTF">2025-09-30T02:49:00Z</dcterms:modified>
  <cp:version>1048576</cp:version>
</cp:coreProperties>
</file>